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FE672" w14:textId="77777777" w:rsidR="00BE2687" w:rsidRDefault="00BE2687" w:rsidP="00BE2687">
      <w:pPr>
        <w:pStyle w:val="Nadpis1"/>
        <w:shd w:val="clear" w:color="auto" w:fill="FFFFFF"/>
        <w:spacing w:before="0" w:beforeAutospacing="0" w:after="0" w:afterAutospacing="0"/>
        <w:rPr>
          <w:rFonts w:ascii="Calibri" w:hAnsi="Calibri" w:cs="Calibri"/>
          <w:sz w:val="28"/>
          <w:szCs w:val="28"/>
          <w:shd w:val="clear" w:color="auto" w:fill="FFFFFF"/>
        </w:rPr>
      </w:pPr>
      <w:r w:rsidRPr="00A77AD4">
        <w:rPr>
          <w:rFonts w:ascii="Calibri" w:hAnsi="Calibri" w:cs="Calibri"/>
          <w:sz w:val="24"/>
          <w:szCs w:val="24"/>
          <w:shd w:val="clear" w:color="auto" w:fill="FFFFFF"/>
        </w:rPr>
        <w:t xml:space="preserve">                                                                       </w:t>
      </w:r>
      <w:r w:rsidRPr="00A77AD4">
        <w:rPr>
          <w:rFonts w:ascii="Calibri" w:hAnsi="Calibri" w:cs="Calibri"/>
          <w:sz w:val="28"/>
          <w:szCs w:val="28"/>
          <w:shd w:val="clear" w:color="auto" w:fill="FFFFFF"/>
        </w:rPr>
        <w:t xml:space="preserve">Poučenie </w:t>
      </w:r>
    </w:p>
    <w:p w14:paraId="3C6A6360" w14:textId="77777777" w:rsidR="009C6C85" w:rsidRPr="00A77AD4" w:rsidRDefault="009C6C85" w:rsidP="00BE2687">
      <w:pPr>
        <w:pStyle w:val="Nadpis1"/>
        <w:shd w:val="clear" w:color="auto" w:fill="FFFFFF"/>
        <w:spacing w:before="0" w:beforeAutospacing="0" w:after="0" w:afterAutospacing="0"/>
        <w:rPr>
          <w:rFonts w:ascii="Calibri" w:hAnsi="Calibri" w:cs="Calibri"/>
          <w:sz w:val="28"/>
          <w:szCs w:val="28"/>
          <w:shd w:val="clear" w:color="auto" w:fill="FFFFFF"/>
        </w:rPr>
      </w:pPr>
    </w:p>
    <w:p w14:paraId="29E886FF" w14:textId="77777777" w:rsidR="00BE2687" w:rsidRPr="00A77AD4" w:rsidRDefault="00BE2687" w:rsidP="00BE2687">
      <w:pPr>
        <w:pStyle w:val="Nadpis1"/>
        <w:shd w:val="clear" w:color="auto" w:fill="FFFFFF"/>
        <w:spacing w:before="0" w:beforeAutospacing="0" w:after="0" w:afterAutospacing="0"/>
        <w:rPr>
          <w:rFonts w:ascii="Calibri" w:hAnsi="Calibri" w:cs="Calibri"/>
          <w:bCs w:val="0"/>
          <w:sz w:val="24"/>
          <w:szCs w:val="24"/>
        </w:rPr>
      </w:pPr>
      <w:r w:rsidRPr="00A77AD4">
        <w:rPr>
          <w:rFonts w:ascii="Calibri" w:hAnsi="Calibri" w:cs="Calibri"/>
          <w:sz w:val="24"/>
          <w:szCs w:val="24"/>
          <w:shd w:val="clear" w:color="auto" w:fill="FFFFFF"/>
        </w:rPr>
        <w:t xml:space="preserve">o práve spotrebiteľa podať obchodníkovi žiadosť o nápravu podľa zákona č. </w:t>
      </w:r>
      <w:r w:rsidRPr="00A77AD4">
        <w:rPr>
          <w:rFonts w:ascii="Calibri" w:hAnsi="Calibri" w:cs="Calibri"/>
          <w:bCs w:val="0"/>
          <w:sz w:val="24"/>
          <w:szCs w:val="24"/>
        </w:rPr>
        <w:t>391/2015 Z.</w:t>
      </w:r>
      <w:r w:rsidR="00002F38" w:rsidRPr="00A77AD4">
        <w:rPr>
          <w:rFonts w:ascii="Calibri" w:hAnsi="Calibri" w:cs="Calibri"/>
          <w:bCs w:val="0"/>
          <w:sz w:val="24"/>
          <w:szCs w:val="24"/>
        </w:rPr>
        <w:t xml:space="preserve"> z.</w:t>
      </w:r>
      <w:r w:rsidRPr="00A77AD4">
        <w:rPr>
          <w:rFonts w:ascii="Calibri" w:hAnsi="Calibri" w:cs="Calibri"/>
          <w:bCs w:val="0"/>
          <w:sz w:val="24"/>
          <w:szCs w:val="24"/>
        </w:rPr>
        <w:t xml:space="preserve"> v znení </w:t>
      </w:r>
      <w:proofErr w:type="spellStart"/>
      <w:r w:rsidRPr="00A77AD4">
        <w:rPr>
          <w:rFonts w:ascii="Calibri" w:hAnsi="Calibri" w:cs="Calibri"/>
          <w:bCs w:val="0"/>
          <w:sz w:val="24"/>
          <w:szCs w:val="24"/>
        </w:rPr>
        <w:t>neskor</w:t>
      </w:r>
      <w:proofErr w:type="spellEnd"/>
      <w:r w:rsidRPr="00A77AD4">
        <w:rPr>
          <w:rFonts w:ascii="Calibri" w:hAnsi="Calibri" w:cs="Calibri"/>
          <w:bCs w:val="0"/>
          <w:sz w:val="24"/>
          <w:szCs w:val="24"/>
        </w:rPr>
        <w:t>. predpisov</w:t>
      </w:r>
    </w:p>
    <w:p w14:paraId="588FA779" w14:textId="77777777" w:rsidR="00BC66FB" w:rsidRPr="00A77AD4" w:rsidRDefault="00BC66FB" w:rsidP="008A5200">
      <w:pPr>
        <w:widowControl w:val="0"/>
        <w:autoSpaceDE w:val="0"/>
        <w:autoSpaceDN w:val="0"/>
        <w:adjustRightInd w:val="0"/>
        <w:spacing w:line="240" w:lineRule="auto"/>
        <w:jc w:val="both"/>
        <w:rPr>
          <w:rFonts w:cs="Calibri"/>
          <w:b/>
          <w:sz w:val="24"/>
          <w:szCs w:val="24"/>
        </w:rPr>
      </w:pPr>
    </w:p>
    <w:p w14:paraId="1A18A7B3" w14:textId="77777777" w:rsidR="00BE2687" w:rsidRPr="00A77AD4" w:rsidRDefault="00BE2687" w:rsidP="00BE2687">
      <w:pPr>
        <w:jc w:val="both"/>
        <w:rPr>
          <w:rFonts w:cs="Calibri"/>
          <w:sz w:val="24"/>
          <w:szCs w:val="24"/>
          <w:shd w:val="clear" w:color="auto" w:fill="FFFFFF"/>
        </w:rPr>
      </w:pPr>
      <w:r w:rsidRPr="00A77AD4">
        <w:rPr>
          <w:rFonts w:cs="Calibri"/>
          <w:sz w:val="24"/>
          <w:szCs w:val="24"/>
        </w:rPr>
        <w:t xml:space="preserve">1. </w:t>
      </w:r>
      <w:r w:rsidRPr="00A77AD4">
        <w:rPr>
          <w:rFonts w:cs="Calibri"/>
          <w:sz w:val="24"/>
          <w:szCs w:val="24"/>
          <w:shd w:val="clear" w:color="auto" w:fill="FFFFFF"/>
        </w:rPr>
        <w:t xml:space="preserve">Kupujúci má právo obrátiť sa na predávajúceho so žiadosťou o nápravu, ak nie je spokojný so spôsobom, ktorým predávajúci vybavil jeho reklamáciu alebo ak sa domnieva, že predávajúci porušil jeho práva. Kupujúci má právo podať návrh na začatie alternatívneho riešenia sporu (ďalej len „návrh“) subjektu alternatívneho riešenia sporov, ak predávajúci na žiadosť o nápravu odpovedal zamietavo alebo na ňu neodpovedal do 30 dní odo dňa jej odoslania. </w:t>
      </w:r>
    </w:p>
    <w:p w14:paraId="3EE6303B" w14:textId="77777777" w:rsidR="00BE2687" w:rsidRPr="00A77AD4" w:rsidRDefault="00BE2687" w:rsidP="00BE2687">
      <w:pPr>
        <w:jc w:val="both"/>
        <w:rPr>
          <w:rFonts w:cs="Calibri"/>
          <w:sz w:val="24"/>
          <w:szCs w:val="24"/>
          <w:shd w:val="clear" w:color="auto" w:fill="FFFFFF"/>
        </w:rPr>
      </w:pPr>
      <w:r w:rsidRPr="00A77AD4">
        <w:rPr>
          <w:rFonts w:cs="Calibri"/>
          <w:sz w:val="24"/>
          <w:szCs w:val="24"/>
          <w:shd w:val="clear" w:color="auto" w:fill="FFFFFF"/>
        </w:rPr>
        <w:t xml:space="preserve">2. Subjektom alternatívneho riešenia sporov je Slovenská obchodná inšpekcia okrem sporov vyplývajúcich zo zmlúv o pripojení do distribučnej sústavy, zmlúv o pripojení do distribučnej siete, zmlúv o združenej dodávke elektriny, zmlúv o združenej dodávke plynu, zmlúv o dodávke a odbere tepla, zmlúv o dodávke pitnej vody a zmlúv o odvádzaní odpadovej vody uzatvorených so subjektom vykonávajúcim regulovanú činnosť podľa osobitného predpisu, okrem sporov vyplývajúcich zo zmlúv o poskytovaní finančných služieb, sporov vyplývajúcich zo zmlúv o poskytovaní verejných služieb, ktoré sa týkajú kvality a ceny služieb, a okrem zmlúv o poskytovaní poštových služieb, ktoré sa týkajú poštových služieb a poštového platobného styku. </w:t>
      </w:r>
    </w:p>
    <w:p w14:paraId="1FD515BC" w14:textId="77777777" w:rsidR="00BE2687" w:rsidRPr="00A77AD4" w:rsidRDefault="00BE2687" w:rsidP="00BE2687">
      <w:pPr>
        <w:jc w:val="both"/>
        <w:rPr>
          <w:rFonts w:cs="Calibri"/>
          <w:b/>
          <w:sz w:val="24"/>
          <w:szCs w:val="24"/>
        </w:rPr>
      </w:pPr>
      <w:r w:rsidRPr="00A77AD4">
        <w:rPr>
          <w:rFonts w:cs="Calibri"/>
          <w:sz w:val="24"/>
          <w:szCs w:val="24"/>
          <w:shd w:val="clear" w:color="auto" w:fill="FFFFFF"/>
        </w:rPr>
        <w:t xml:space="preserve">3. </w:t>
      </w:r>
      <w:r w:rsidRPr="00A77AD4">
        <w:rPr>
          <w:rFonts w:cs="Calibri"/>
          <w:b/>
          <w:sz w:val="24"/>
          <w:szCs w:val="24"/>
          <w:shd w:val="clear" w:color="auto" w:fill="FFFFFF"/>
        </w:rPr>
        <w:t>Subjektom alternatívneho riešenia sporov sú aj oprávnené právnické osoby zverejnené na stránke:</w:t>
      </w:r>
      <w:r w:rsidR="00002F38" w:rsidRPr="00A77AD4">
        <w:rPr>
          <w:rFonts w:cs="Calibri"/>
          <w:sz w:val="24"/>
          <w:szCs w:val="24"/>
          <w:shd w:val="clear" w:color="auto" w:fill="FFFFFF"/>
        </w:rPr>
        <w:t xml:space="preserve"> </w:t>
      </w:r>
      <w:hyperlink r:id="rId5" w:history="1">
        <w:r w:rsidRPr="00A77AD4">
          <w:rPr>
            <w:rStyle w:val="Hypertextovprepojenie"/>
            <w:rFonts w:cs="Calibri"/>
            <w:b/>
            <w:sz w:val="24"/>
            <w:szCs w:val="24"/>
          </w:rPr>
          <w:t>w</w:t>
        </w:r>
        <w:r w:rsidR="00002F38" w:rsidRPr="00A77AD4">
          <w:rPr>
            <w:rStyle w:val="Hypertextovprepojenie"/>
            <w:rFonts w:cs="Calibri"/>
            <w:b/>
            <w:sz w:val="24"/>
            <w:szCs w:val="24"/>
          </w:rPr>
          <w:t>w</w:t>
        </w:r>
        <w:r w:rsidRPr="00A77AD4">
          <w:rPr>
            <w:rStyle w:val="Hypertextovprepojenie"/>
            <w:rFonts w:cs="Calibri"/>
            <w:b/>
            <w:sz w:val="24"/>
            <w:szCs w:val="24"/>
          </w:rPr>
          <w:t>w.mhsr.sk/obchod/ochrana-spotrebitela/alternativne-riesenie-spotrebitelskych-sporov-1/zoznam-subjektov-alternativneho-riesenia-spotrebitelskych-sporov-1</w:t>
        </w:r>
      </w:hyperlink>
    </w:p>
    <w:p w14:paraId="4CAFA004" w14:textId="77777777" w:rsidR="00002F38" w:rsidRPr="00A77AD4" w:rsidRDefault="00002F38" w:rsidP="00BE2687">
      <w:pPr>
        <w:jc w:val="both"/>
        <w:rPr>
          <w:rFonts w:cs="Calibri"/>
          <w:b/>
          <w:sz w:val="24"/>
          <w:szCs w:val="24"/>
          <w:shd w:val="clear" w:color="auto" w:fill="FFFFFF"/>
        </w:rPr>
      </w:pPr>
    </w:p>
    <w:p w14:paraId="089AA7AD" w14:textId="77777777" w:rsidR="00002F38" w:rsidRPr="00A77AD4" w:rsidRDefault="00002F38" w:rsidP="00BE2687">
      <w:pPr>
        <w:jc w:val="both"/>
        <w:rPr>
          <w:rFonts w:cs="Calibri"/>
          <w:sz w:val="24"/>
          <w:szCs w:val="24"/>
          <w:shd w:val="clear" w:color="auto" w:fill="FFFFFF"/>
        </w:rPr>
      </w:pPr>
    </w:p>
    <w:p w14:paraId="301F52BE" w14:textId="77777777" w:rsidR="007C7F88" w:rsidRPr="00A77AD4" w:rsidRDefault="007C7F88" w:rsidP="00BE2687">
      <w:pPr>
        <w:widowControl w:val="0"/>
        <w:autoSpaceDE w:val="0"/>
        <w:autoSpaceDN w:val="0"/>
        <w:adjustRightInd w:val="0"/>
        <w:spacing w:line="240" w:lineRule="auto"/>
        <w:jc w:val="both"/>
        <w:rPr>
          <w:rFonts w:cs="Calibri"/>
        </w:rPr>
      </w:pPr>
    </w:p>
    <w:sectPr w:rsidR="007C7F88" w:rsidRPr="00A77AD4" w:rsidSect="00A77AD4">
      <w:pgSz w:w="12240" w:h="15840"/>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entury Gothic"/>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19A"/>
    <w:rsid w:val="00002F38"/>
    <w:rsid w:val="000452FB"/>
    <w:rsid w:val="0005796F"/>
    <w:rsid w:val="00070F78"/>
    <w:rsid w:val="00096A9B"/>
    <w:rsid w:val="000C450A"/>
    <w:rsid w:val="000C6023"/>
    <w:rsid w:val="00100202"/>
    <w:rsid w:val="001413D4"/>
    <w:rsid w:val="00143046"/>
    <w:rsid w:val="00184EDE"/>
    <w:rsid w:val="002C133C"/>
    <w:rsid w:val="002C5B6D"/>
    <w:rsid w:val="002D138B"/>
    <w:rsid w:val="002D18C7"/>
    <w:rsid w:val="00363B1E"/>
    <w:rsid w:val="00387159"/>
    <w:rsid w:val="00396DFE"/>
    <w:rsid w:val="00450656"/>
    <w:rsid w:val="004C0476"/>
    <w:rsid w:val="004C13A0"/>
    <w:rsid w:val="004C6947"/>
    <w:rsid w:val="0064419A"/>
    <w:rsid w:val="00686FD3"/>
    <w:rsid w:val="00694CB5"/>
    <w:rsid w:val="006D7805"/>
    <w:rsid w:val="006E034C"/>
    <w:rsid w:val="007C7F88"/>
    <w:rsid w:val="0081293A"/>
    <w:rsid w:val="008A5200"/>
    <w:rsid w:val="008C1CD5"/>
    <w:rsid w:val="00915DE7"/>
    <w:rsid w:val="009C6C85"/>
    <w:rsid w:val="009F25BF"/>
    <w:rsid w:val="00A128A4"/>
    <w:rsid w:val="00A32A8E"/>
    <w:rsid w:val="00A52E4E"/>
    <w:rsid w:val="00A77AD4"/>
    <w:rsid w:val="00AB5E66"/>
    <w:rsid w:val="00BC66FB"/>
    <w:rsid w:val="00BE2687"/>
    <w:rsid w:val="00C220AC"/>
    <w:rsid w:val="00C87894"/>
    <w:rsid w:val="00CA21AA"/>
    <w:rsid w:val="00CD3F91"/>
    <w:rsid w:val="00CD4DAA"/>
    <w:rsid w:val="00E16F88"/>
    <w:rsid w:val="00E53633"/>
    <w:rsid w:val="00EB4291"/>
    <w:rsid w:val="00F53B15"/>
    <w:rsid w:val="00F8651B"/>
    <w:rsid w:val="00FC6B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E904B"/>
  <w14:defaultImageDpi w14:val="0"/>
  <w15:docId w15:val="{FA5A7610-6577-4615-95D0-BC985A46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rFonts w:cs="Times New Roman"/>
      <w:sz w:val="22"/>
      <w:szCs w:val="22"/>
    </w:rPr>
  </w:style>
  <w:style w:type="paragraph" w:styleId="Nadpis1">
    <w:name w:val="heading 1"/>
    <w:basedOn w:val="Normlny"/>
    <w:link w:val="Nadpis1Char"/>
    <w:uiPriority w:val="99"/>
    <w:qFormat/>
    <w:locked/>
    <w:rsid w:val="00BE2687"/>
    <w:pPr>
      <w:spacing w:before="100" w:beforeAutospacing="1" w:after="100" w:afterAutospacing="1" w:line="240" w:lineRule="auto"/>
      <w:outlineLvl w:val="0"/>
    </w:pPr>
    <w:rPr>
      <w:rFonts w:ascii="Times New Roman" w:hAnsi="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Aptos Display" w:eastAsia="Times New Roman" w:hAnsi="Aptos Display" w:cs="Times New Roman"/>
      <w:b/>
      <w:bCs/>
      <w:kern w:val="32"/>
      <w:sz w:val="32"/>
      <w:szCs w:val="32"/>
    </w:rPr>
  </w:style>
  <w:style w:type="paragraph" w:customStyle="1" w:styleId="Default">
    <w:name w:val="Default"/>
    <w:uiPriority w:val="99"/>
    <w:rsid w:val="00915DE7"/>
    <w:pPr>
      <w:autoSpaceDE w:val="0"/>
      <w:autoSpaceDN w:val="0"/>
      <w:adjustRightInd w:val="0"/>
    </w:pPr>
    <w:rPr>
      <w:rFonts w:ascii="Times New Roman" w:hAnsi="Times New Roman" w:cs="Times New Roman"/>
      <w:color w:val="000000"/>
      <w:sz w:val="24"/>
      <w:szCs w:val="24"/>
    </w:rPr>
  </w:style>
  <w:style w:type="character" w:styleId="Hypertextovprepojenie">
    <w:name w:val="Hyperlink"/>
    <w:uiPriority w:val="99"/>
    <w:rsid w:val="000C450A"/>
    <w:rPr>
      <w:rFonts w:cs="Times New Roman"/>
      <w:color w:val="0000FF"/>
      <w:u w:val="single"/>
    </w:rPr>
  </w:style>
  <w:style w:type="character" w:styleId="Nevyrieenzmienka">
    <w:name w:val="Unresolved Mention"/>
    <w:uiPriority w:val="99"/>
    <w:semiHidden/>
    <w:unhideWhenUsed/>
    <w:rsid w:val="00002F38"/>
    <w:rPr>
      <w:rFonts w:cs="Times New Roman"/>
      <w:color w:val="605E5C"/>
      <w:shd w:val="clear" w:color="auto" w:fill="E1DFDD"/>
    </w:rPr>
  </w:style>
  <w:style w:type="character" w:styleId="PouitHypertextovPrepojenie">
    <w:name w:val="FollowedHyperlink"/>
    <w:uiPriority w:val="99"/>
    <w:semiHidden/>
    <w:unhideWhenUsed/>
    <w:rsid w:val="00A77AD4"/>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5568">
      <w:marLeft w:val="0"/>
      <w:marRight w:val="0"/>
      <w:marTop w:val="0"/>
      <w:marBottom w:val="0"/>
      <w:divBdr>
        <w:top w:val="none" w:sz="0" w:space="0" w:color="auto"/>
        <w:left w:val="none" w:sz="0" w:space="0" w:color="auto"/>
        <w:bottom w:val="none" w:sz="0" w:space="0" w:color="auto"/>
        <w:right w:val="none" w:sz="0" w:space="0" w:color="auto"/>
      </w:divBdr>
      <w:divsChild>
        <w:div w:id="418335569">
          <w:marLeft w:val="255"/>
          <w:marRight w:val="0"/>
          <w:marTop w:val="0"/>
          <w:marBottom w:val="0"/>
          <w:divBdr>
            <w:top w:val="none" w:sz="0" w:space="0" w:color="auto"/>
            <w:left w:val="none" w:sz="0" w:space="0" w:color="auto"/>
            <w:bottom w:val="none" w:sz="0" w:space="0" w:color="auto"/>
            <w:right w:val="none" w:sz="0" w:space="0" w:color="auto"/>
          </w:divBdr>
        </w:div>
        <w:div w:id="418335570">
          <w:marLeft w:val="255"/>
          <w:marRight w:val="0"/>
          <w:marTop w:val="0"/>
          <w:marBottom w:val="0"/>
          <w:divBdr>
            <w:top w:val="none" w:sz="0" w:space="0" w:color="auto"/>
            <w:left w:val="none" w:sz="0" w:space="0" w:color="auto"/>
            <w:bottom w:val="none" w:sz="0" w:space="0" w:color="auto"/>
            <w:right w:val="none" w:sz="0" w:space="0" w:color="auto"/>
          </w:divBdr>
        </w:div>
        <w:div w:id="418335571">
          <w:marLeft w:val="255"/>
          <w:marRight w:val="0"/>
          <w:marTop w:val="0"/>
          <w:marBottom w:val="0"/>
          <w:divBdr>
            <w:top w:val="none" w:sz="0" w:space="0" w:color="auto"/>
            <w:left w:val="none" w:sz="0" w:space="0" w:color="auto"/>
            <w:bottom w:val="none" w:sz="0" w:space="0" w:color="auto"/>
            <w:right w:val="none" w:sz="0" w:space="0" w:color="auto"/>
          </w:divBdr>
        </w:div>
        <w:div w:id="418335572">
          <w:marLeft w:val="255"/>
          <w:marRight w:val="0"/>
          <w:marTop w:val="0"/>
          <w:marBottom w:val="0"/>
          <w:divBdr>
            <w:top w:val="none" w:sz="0" w:space="0" w:color="auto"/>
            <w:left w:val="none" w:sz="0" w:space="0" w:color="auto"/>
            <w:bottom w:val="none" w:sz="0" w:space="0" w:color="auto"/>
            <w:right w:val="none" w:sz="0" w:space="0" w:color="auto"/>
          </w:divBdr>
        </w:div>
        <w:div w:id="418335574">
          <w:marLeft w:val="255"/>
          <w:marRight w:val="0"/>
          <w:marTop w:val="0"/>
          <w:marBottom w:val="0"/>
          <w:divBdr>
            <w:top w:val="none" w:sz="0" w:space="0" w:color="auto"/>
            <w:left w:val="none" w:sz="0" w:space="0" w:color="auto"/>
            <w:bottom w:val="none" w:sz="0" w:space="0" w:color="auto"/>
            <w:right w:val="none" w:sz="0" w:space="0" w:color="auto"/>
          </w:divBdr>
        </w:div>
      </w:divsChild>
    </w:div>
    <w:div w:id="418335573">
      <w:marLeft w:val="0"/>
      <w:marRight w:val="0"/>
      <w:marTop w:val="0"/>
      <w:marBottom w:val="0"/>
      <w:divBdr>
        <w:top w:val="none" w:sz="0" w:space="0" w:color="auto"/>
        <w:left w:val="none" w:sz="0" w:space="0" w:color="auto"/>
        <w:bottom w:val="none" w:sz="0" w:space="0" w:color="auto"/>
        <w:right w:val="none" w:sz="0" w:space="0" w:color="auto"/>
      </w:divBdr>
    </w:div>
    <w:div w:id="418335575">
      <w:marLeft w:val="0"/>
      <w:marRight w:val="0"/>
      <w:marTop w:val="0"/>
      <w:marBottom w:val="0"/>
      <w:divBdr>
        <w:top w:val="none" w:sz="0" w:space="0" w:color="auto"/>
        <w:left w:val="none" w:sz="0" w:space="0" w:color="auto"/>
        <w:bottom w:val="none" w:sz="0" w:space="0" w:color="auto"/>
        <w:right w:val="none" w:sz="0" w:space="0" w:color="auto"/>
      </w:divBdr>
    </w:div>
    <w:div w:id="418335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hsr.sk/obchod/ochrana-spotrebitela/alternativne-riesenie-spotrebitelskych-sporov-1/zoznam-subjektov-alternativneho-riesenia-spotrebitelskych-sporov-1"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492A0-DB6E-4F4C-AECF-5225A914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Poučenie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Poučenie </dc:title>
  <dc:subject/>
  <dc:creator>Martin Ceľuch</dc:creator>
  <cp:keywords/>
  <dc:description/>
  <cp:lastModifiedBy>Martin Ceľuch</cp:lastModifiedBy>
  <cp:revision>3</cp:revision>
  <dcterms:created xsi:type="dcterms:W3CDTF">2024-10-25T14:07:00Z</dcterms:created>
  <dcterms:modified xsi:type="dcterms:W3CDTF">2024-10-25T15:11:00Z</dcterms:modified>
</cp:coreProperties>
</file>